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4855e3111d4476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31796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BEDNJA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2.612.294,91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3.180.009,47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1.506.293,22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1.788.550,28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1.106.001,69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1.391.459,19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1.058.000,63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1.462.733,39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1.051.376,21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1.457.178,91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96.476,48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98.573,54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96.476,48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43.948,06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162.196,20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369,1</w:t>
            </w:r>
          </w:p>
        </w:tc>
      </w:tr>
    </w:tbl>
    <w:p>
      <w:pPr>
        <w:spacing w:before="0" w:after="0"/>
      </w:pPr>
    </w:p>
    <w:p>
      <w:r>
        <w:t xml:space="preserve">U razdoblju od 1. siječnja do 31. prosinca 2025. prihodi poslovanja ostvareni su u iznosu od 3.180.009,47 EUR. Najznačajnije povećanje prihoda ostvareno je od prihoda od poreza  i  kapitalnih pomoći proračunu.  Rashodi poslovanja u razdoblju od 1. siječnja do 31. prosinca 2025. ostvareni su u iznosu od 1.788.550,28 EUR. Najznačajnije povećanje rashoda evidentirano je na rashodima za zaposlene uslijed povećanja plaća. Povećanje je nadalje evidentirano i na materijalnim rashodima zbog povećanja cijene energenata kao i cijena usluga. Najznačajnije smanjenje rashoda poslovanja evidentirano je na rashodima za kapitalne pomoći trgovačkim društvima.   U navedenom razdoblju ostvareni su prihodi od nefinancijske imovine u iznosu od 5.554,48 EUR i to od prodaje ne proizvedene    dugotrajne imovne iznos od 620,00 te od prodaje proizvedene dugotrajne imovine 4.934,48 EUR.  Rashodi za nabavu nefinancijske imovine ostvareni u iznosu od 1.462.733,39 EUR.  Najznačajniji dio sredstava evidentiran je za nabavku proizvedene dugotrajne imovine -izgradnju građevinskih objekata.  U navedenom razdoblju nije bilo ostvarenih primitaka od financijske imovine i zaduživanja, dok su izdaci iznosili 96.476,48 EUR a odnose se na plaćanje rata po dugoročnom kreditu za izgradnju Dječjeg vrtića, te povrat duga za povrat poreza.  U razdoblju od 1. siječnja do 31. prosinca  2025. ostvaren je višak prihoda poslovanja u iznosu od 1.391.459,19 EUR, manjak prihoda od nefinancijske imovine u iznosu od 1.457.178,91 EUR, manjak od financijske imovine i zaduživanja u iznosu od 96.476,48 EUR, slijedom čega je na kraju izvještajnog razdoblja ostvaren ukupan manjak prihoda i primitaka u iznosu od 162.196,20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1.164.312,13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1.409.620,94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Prihodi od poreza na dohodak od nesamostalnog rada bilježe povećanje od 21,1% u odnosu na prethodno razdoblje prošle godine zbog rasta plaća stanovnika sa prebivalištem na području općine Bednja.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poreza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187.136,78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246.459,01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Povrat poreza na dohodak po godišnjoj prijavi iznosi 246.459,01  što je za 31,7% , odnosno 59.322,23 više nego u 2024. godini. Razlog povećanja iznosa povrata sredstava je u činjenici da su se dizali osobni odbici građana pa su time i građani stekli pravo na povrat većeg dijela poreza.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Porez na promet ostvaren je u iznosu od 26.864,74  što je za 9.608,82 više nego u 2024. Razlog povećanja prihoda proizlazi iz činjenice da su porasle cijena roba i usluga pa samim time je došlo do povećanja prihoda od tog poreza a i otvoreni su novi poslovni subjekti koji su obveznici uplate navedenog prihoda.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721.066,08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130.986,17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w:t>
            </w:r>
          </w:p>
        </w:tc>
      </w:tr>
    </w:tbl>
    <w:p>
      <w:pPr>
        <w:spacing w:before="0" w:after="0"/>
      </w:pPr>
    </w:p>
    <w:p>
      <w:r>
        <w:t xml:space="preserve">Tekuće pomoći proračunu izvršene su u iznosu od 130.986,17  što je za 590.079,91 manje nego u 2024. Razlog smanjenja prihoda na toj poziciji proizlazi iz činjenice da su se  u 2024. godini prihodi od pomoći fiskalnog izravnanja evidentirali na poziciji 6331 a u 2025. se evidentiraju na poziciji 6353. </w:t>
      </w:r>
    </w:p>
    <w:p>
      <w:r>
        <w:t xml:space="preserve">U okviru poziciji 6331 evidentiranu su prihod od tekućih pomoći iz državnog proračuna u iznosu od 1.500,00 za projekat Bednjanskog govora.</w:t>
      </w:r>
    </w:p>
    <w:p>
      <w:r>
        <w:t xml:space="preserve">Tekuće pomoći iz državnog proračuna kao pomoć za fiskalnu održivost dječjih vrtića u iznosu od 106.932,00, te tekuće pomoći iz županijskog proračuna u iznosu od 22.554,17 kao sufinanciranje lokalnih izbora.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403.480,00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640.607,99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w:t>
            </w:r>
          </w:p>
        </w:tc>
      </w:tr>
    </w:tbl>
    <w:p>
      <w:pPr>
        <w:spacing w:before="0" w:after="0"/>
      </w:pPr>
    </w:p>
    <w:p>
      <w:r>
        <w:t xml:space="preserve">Kapitalne pomoći proračunu u 2025. godini veće su za 237.127,99 eura iz razloga što je njihova uplata sukladna dinamici izvršenja projekata koje u  svojem dijelu financira državni proračun:</w:t>
      </w:r>
    </w:p>
    <w:p>
      <w:r>
        <w:t xml:space="preserve">Radovi na izgradnji fontane u Bednji u iznosu od 18.393,97, fitnes na otvorenom u iznosu od 45.000,00, biciklistička infrastruktura u iznosu od 59.918,69, modernizacija nerazvrstanih cesta u iznosu od 126.400,00, radovi na izgradnji igrališta u Pleši u iznosu od 41.934,77, radovi na izgradnji kinodvorane u Bednji u iznosu od 200.000,00, te radovi na sanaciji klizišta u iznosu od 148.960,56.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643.785,22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Pomoći fiskalnog izravnanja od 2025. evidentiraju se na poziciji 6353. dok su se u 2024. evidentirale na poziciji 6331, te iz toga proizlazi razlika u izvršenju prihoda.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146.136,18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159.130,13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bl>
    <w:p>
      <w:pPr>
        <w:spacing w:before="0" w:after="0"/>
      </w:pPr>
    </w:p>
    <w:p>
      <w:r>
        <w:t xml:space="preserve">Tekuće pomoći temeljem prijenosa EU sredstava evidentirana su u iznosu od 159.130,13  a za financiranje projekta "Zaželi" odnosno za troškove plaća osoba koje rade na tom projektu a kao pomoć ugroženom staračkom domaćinstvu.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468,1</w:t>
            </w:r>
          </w:p>
        </w:tc>
      </w:tr>
    </w:tbl>
    <w:p>
      <w:pPr>
        <w:spacing w:before="0" w:after="0"/>
      </w:pPr>
    </w:p>
    <w:p>
      <w:r>
        <w:t xml:space="preserve">Naknada za korištenje nefinancijske imovine u 2025. godini ostvarena je u iznosu od 40.933,12 što je za 32.188,83 više nego u 2024. Razlog povećanja prihoda proizlazi iz činjenice što su u ovoj godini prispjela dodatna sredstva temeljem sudskog spora za korištenje DTK mreže u iznosu od 31.388,83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Razlog povećanja prihoda od šumskog doprinosa u 2025. godini proizlazi iz činjenice da je u 2025. uplatom tog doprinosa obuhvaćen novi korisnik koji do sada nije vršio uplatu sredstava-Trako Agt.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454,4</w:t>
            </w:r>
          </w:p>
        </w:tc>
      </w:tr>
    </w:tbl>
    <w:p>
      <w:pPr>
        <w:spacing w:before="0" w:after="0"/>
      </w:pPr>
    </w:p>
    <w:p>
      <w:r>
        <w:t xml:space="preserve">Razlog povećanja prihoda na toj stavci u 2025. godini proizlazi iz činjenice da su izdane i naplaćene kazne koje je izdao komunalni redar za prekršaje prema fizičkim osobama.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222.026,28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348.634,73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w:t>
            </w:r>
          </w:p>
        </w:tc>
      </w:tr>
    </w:tbl>
    <w:p>
      <w:pPr>
        <w:spacing w:before="0" w:after="0"/>
      </w:pPr>
    </w:p>
    <w:p>
      <w:r>
        <w:t xml:space="preserve">Razlog povećanja rashoda je u činjenici da je došlo do povećanja broja zaposlenih kao i plaća zaposlenih u 2025, te da su ove godine za cijelo izvještajno razdoblje evidentirani rashodi za zaposlene po projektu "Zaželi". dok su u 2024. godini počeli tek u lipnju mjesecu. Sukladno povećanju plaća došlo je i do povećanja troškova za doprinose, troškove prijevoza, kao i ostalih nagrada zaposlenima ( regres, uskrsnice i sl.)</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187,6</w:t>
            </w:r>
          </w:p>
        </w:tc>
      </w:tr>
    </w:tbl>
    <w:p>
      <w:pPr>
        <w:spacing w:before="0" w:after="0"/>
      </w:pPr>
    </w:p>
    <w:p>
      <w:r>
        <w:t xml:space="preserve">Komunalne usluge bilježe rast rashoda u iznosu od 13.079,85  u odnosu na 2024. iz razloga što je u toku 2025. proveden projekt "Zelena čistka" te je bilo potrebno izdvojiti znatna sredstva za odvoz i deponiranje prikupljenog otpada.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226,7</w:t>
            </w:r>
          </w:p>
        </w:tc>
      </w:tr>
    </w:tbl>
    <w:p>
      <w:pPr>
        <w:spacing w:before="0" w:after="0"/>
      </w:pPr>
    </w:p>
    <w:p>
      <w:r>
        <w:t xml:space="preserve">Zdravstvene i veterinarske usluge evidentirane su u iznosu od 5.719,40 što je za 3.196,27 više nego u 2024. iz razloga što su u 2025. plaćeni preventivni zdravstveni pregledi zaposlenika.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34.895,90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87.219,54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w:t>
            </w:r>
          </w:p>
        </w:tc>
      </w:tr>
    </w:tbl>
    <w:p>
      <w:pPr>
        <w:spacing w:before="0" w:after="0"/>
      </w:pPr>
    </w:p>
    <w:p>
      <w:r>
        <w:t xml:space="preserve">Intelektualne i osobne usluge bilježe rast rashoda u odnosu na 2024. godinu u iznosu od 52.323,64 iz razloga što se pristupilo evidentiranju i sređivanju baze nerazvrstanih cesta te su povećani rashodi za geodetsko katastarske usluge.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25.061,85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71.066,65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283,6</w:t>
            </w:r>
          </w:p>
        </w:tc>
      </w:tr>
    </w:tbl>
    <w:p>
      <w:pPr>
        <w:spacing w:before="0" w:after="0"/>
      </w:pPr>
    </w:p>
    <w:p>
      <w:r>
        <w:t xml:space="preserve">Naknade za rad predstavničkih i izvršnih tijela, povjerenstava i slično bilježe rast rashoda u odnosu na 2024. godinu u iznosu od 46.004,80. Najznačajnije povećanje je na rashodima za naknade članovima povjerenstava, a za rad članovima biračkih mjesta i izbornog povjerenstva na lokalnim izborima.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440,7</w:t>
            </w:r>
          </w:p>
        </w:tc>
      </w:tr>
    </w:tbl>
    <w:p>
      <w:pPr>
        <w:spacing w:before="0" w:after="0"/>
      </w:pPr>
    </w:p>
    <w:p>
      <w:r>
        <w:t xml:space="preserve">Tekuće pomoći drugom proračunu evidentirani su troškovi u iznosu od 28.287,55 kao sredstva za povrat troškova Općini Vinica a po projektu "Zaželi".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215.730,59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267.411,40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Prijenosi proračunskim korisnicima iz nadležnog proračuna evidentirani su u iznosu od 267.411,40 kao prijenos dječjem vrtiću za financiranje plaća i drugog dohotka. Razlog povećanja rashoda je u činjenici da su u 2025. godini povećane plaće djelatnika, te je i povećan broj izvršioca.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1.026.319,37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1.392.350,59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Rashodi za građevinske objekte bilježe rast rashoda u iznosu od 366.031,22 u odnosu na 2024. Razlog povećanja rashoda je u činjenici da su izvršeni dodatni radovi na izgradnji kinodvorane, te se pristupilo sanaciji klizišta kao i modernizaciji nerazvrstanih cesta a sukladno provedenim javnim natječajima.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514,1</w:t>
            </w:r>
          </w:p>
        </w:tc>
      </w:tr>
    </w:tbl>
    <w:p>
      <w:pPr>
        <w:spacing w:before="0" w:after="0"/>
      </w:pPr>
    </w:p>
    <w:p>
      <w:r>
        <w:t xml:space="preserve">Razlog povećanja troškova u 2025. godini je u činjenici da je nabavljen novi namještaj (police i ormari) za upravnu zgradu Općine.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654,9</w:t>
            </w:r>
          </w:p>
        </w:tc>
      </w:tr>
    </w:tbl>
    <w:p>
      <w:pPr>
        <w:spacing w:before="0" w:after="0"/>
      </w:pPr>
    </w:p>
    <w:p>
      <w:r>
        <w:t xml:space="preserve">Komunikacijska oprema bilježi rast rashoda u 2025. godini 6.552,23 u odnosu na 2024. Razlog povećanja je u činjenici da su u 2025. nabavljeni novi mobilni uređaji i tableti.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Sportska i glazbena oprema nabavljena je u 2025. godini u iznosi od 4.722,50, odnosno najznačajniji dio sredstava izdvojen je za nabavku opreme za igralište u sklopu društvenog doma u Brezovoj Gori.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24.978,99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401,1</w:t>
            </w:r>
          </w:p>
        </w:tc>
      </w:tr>
    </w:tbl>
    <w:p>
      <w:pPr>
        <w:spacing w:before="0" w:after="0"/>
      </w:pPr>
    </w:p>
    <w:p>
      <w:r>
        <w:t xml:space="preserve">Uređaji, strojevi i oprema za ostale namjene bilježi rast rashoda u iznosu od 18.751,49 iz razloga što su  u 2025. nabavljene dodatne lampe za javnu rasvjetu.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98.573,54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90.990,96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Sredstva u iznosu od 90.990,96 izdvojena su za otplatu po dugoročnom kreditu Zagrebačke banke a za izgradnju dječjeg vrtića u Bednji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drugih razina vlasti (šifre 5471 do 5477)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Evidentirani su izdaci u iznosu od 5.485,52 a kao povrat zajma državnom proračunu kao ostatak sredstava za povrat poreza i prireza po godišnjoj prijavi.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Prosječan broj zaposlenih u tijelima na osnovi stanja na početku i na kraju izvještajnom razdoblja u 2025. godini bilježi rast u odnosu na 2024. iz razloga što su djelatnice po programu "Zaželi" radile cijelu 2025. dok su u 2024. počele raditi tek u lipnju mjesecu.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2.073.401,10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2.384.652,71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Na navedenoj poziciji došlo je do povećanja vrijednosti poslovnih objekata u 2025. u odnosu na 2024. u iznosu od 311.251,61. i to na uredskim objektima u iznosu od 17.225,79, te na zgradama kulturnih institucija(kinodvorana) u iznosu od 294.025,82 eura.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5.679.837,72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6.409.940,32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Na navedenoj poziciji došlo je do povećanja vrijednosti imovine u iznosu od 730.153,83 i to na kontu 021310 ceste. </w:t>
      </w:r>
    </w:p>
    <w:p>
      <w:r>
        <w:t xml:space="preserve">Izvršeni su radovi na modernizaciji nerazvrstanih cesta te na sanaciji klizišta.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1.704.721,77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1.936.147,14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U okviru konta 0214 došlo je do povećanja vrijednosti imovine u iznosu od 231.425,37 eura i to na kontu 021450-sportski i rekreacijski tereni u iznosu od 143.849,52 i na kontu 021490-ostali nespomenuti građevinski objekti u iznosu od 89.772,25 eura.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w:t>
            </w:r>
          </w:p>
        </w:tc>
      </w:tr>
    </w:tbl>
    <w:p>
      <w:pPr>
        <w:spacing w:before="0" w:after="0"/>
      </w:pPr>
    </w:p>
    <w:p>
      <w:r>
        <w:t xml:space="preserve">Na navedenoj poziciji došlo je do povećanja vrijednosti imovine iz razloga što je kupljena oprema  za opremanje vanjskog prostora društvenog doma u Brezovoj Gori.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290.285,30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315.264,29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Povećanje vrijednosti imovine zabilježeno je iz razloga što su nabavljene led lampe i štandovi po projektu "Pomost".</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poreze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26.888,28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w:t>
            </w:r>
          </w:p>
        </w:tc>
      </w:tr>
    </w:tbl>
    <w:p>
      <w:pPr>
        <w:spacing w:before="0" w:after="0"/>
      </w:pPr>
    </w:p>
    <w:p>
      <w:r>
        <w:t xml:space="preserve">Na kraju izvještajnog razdoblja 2025. potraživanja za poreze iznose 38.493,35 eura što je za 43,2% više nego u 2024. </w:t>
      </w:r>
    </w:p>
    <w:p>
      <w:r>
        <w:t xml:space="preserve">Struktura potraživanja po vrstama je slijedeća: stalni porezi na nepokretnu imovine iznose 5,28, </w:t>
      </w:r>
    </w:p>
    <w:p>
      <w:r>
        <w:t xml:space="preserve">stalni porezi na nepokretnu imovine-porez na nekretnine iznosi 7.209,00,</w:t>
      </w:r>
    </w:p>
    <w:p>
      <w:r>
        <w:t xml:space="preserve">porez na kuće za odmor iznosi 9.486,06,</w:t>
      </w:r>
    </w:p>
    <w:p>
      <w:r>
        <w:t xml:space="preserve">povremeni porezi na imovinu iznose 13.913,95, </w:t>
      </w:r>
    </w:p>
    <w:p>
      <w:r>
        <w:t xml:space="preserve">porez na promet iznosi 6.500,47,</w:t>
      </w:r>
    </w:p>
    <w:p>
      <w:r>
        <w:t xml:space="preserve">porez na korištenje dobara ili izvođenje aktivnosti iznosi 1.378,59,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44.543,50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w:t>
            </w:r>
          </w:p>
        </w:tc>
      </w:tr>
    </w:tbl>
    <w:p>
      <w:pPr>
        <w:spacing w:before="0" w:after="0"/>
      </w:pPr>
    </w:p>
    <w:p>
      <w:r>
        <w:t xml:space="preserve">Struktura navedenih potraživanja je slijedeća: </w:t>
      </w:r>
    </w:p>
    <w:p>
      <w:r>
        <w:t xml:space="preserve">potraživanja za prihode vodnog gospodarstva-7.515,23</w:t>
      </w:r>
    </w:p>
    <w:p>
      <w:r>
        <w:t xml:space="preserve">potraživanja za komunikacijske usluge-18,61</w:t>
      </w:r>
    </w:p>
    <w:p>
      <w:r>
        <w:t xml:space="preserve">potraživanja za utrošenu energiju-519,26</w:t>
      </w:r>
    </w:p>
    <w:p>
      <w:r>
        <w:t xml:space="preserve">potraživanja od dječjeg vrtića-37,94</w:t>
      </w:r>
    </w:p>
    <w:p>
      <w:r>
        <w:t xml:space="preserve">potraživanja za komunalne doprinose-312,98</w:t>
      </w:r>
    </w:p>
    <w:p>
      <w:r>
        <w:t xml:space="preserve">potraživanja za komunalne naknade-12.330,32</w:t>
      </w:r>
    </w:p>
    <w:p>
      <w:r>
        <w:t xml:space="preserve">potraživanja za grobnu naknadu-2.275,47</w:t>
      </w:r>
    </w:p>
    <w:p>
      <w:r>
        <w:t xml:space="preserv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209,4</w:t>
            </w:r>
          </w:p>
        </w:tc>
      </w:tr>
    </w:tbl>
    <w:p>
      <w:pPr>
        <w:spacing w:before="0" w:after="0"/>
      </w:pPr>
    </w:p>
    <w:p>
      <w:r>
        <w:t xml:space="preserve">Potraživanja u iznosu od 5.717,40 odnose se na obračunate penale za radove koji nisu izvršeni u roku-Hudek Trgotrans.</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41.941,37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33.740,13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w:t>
            </w:r>
          </w:p>
        </w:tc>
      </w:tr>
    </w:tbl>
    <w:p>
      <w:pPr>
        <w:spacing w:before="0" w:after="0"/>
      </w:pPr>
    </w:p>
    <w:p>
      <w:r>
        <w:t xml:space="preserve">Obračunati su ispravci vrijednosti potraživanja sa 31.12.2025.  , te im je struktura slijedeća: </w:t>
      </w:r>
    </w:p>
    <w:p>
      <w:r>
        <w:t xml:space="preserve">ispravak vrijednosti potraživanja:</w:t>
      </w:r>
    </w:p>
    <w:p>
      <w:r>
        <w:t xml:space="preserve">kuće za odmor u iznosu od 6.428,40</w:t>
      </w:r>
    </w:p>
    <w:p>
      <w:r>
        <w:t xml:space="preserve">naknada za uređenje voda u iznosu od 6.332,25</w:t>
      </w:r>
    </w:p>
    <w:p>
      <w:r>
        <w:t xml:space="preserve">komunalni doprinos u iznosu od 214,05</w:t>
      </w:r>
    </w:p>
    <w:p>
      <w:r>
        <w:t xml:space="preserve">komunalna naknada u iznosu od 7.245,01</w:t>
      </w:r>
    </w:p>
    <w:p>
      <w:r>
        <w:t xml:space="preserve">grobna naknada u iznosu od 2.275,47</w:t>
      </w:r>
    </w:p>
    <w:p>
      <w:r>
        <w:t xml:space="preserve">porez na nekretnine u iznosu od 3.600,52</w:t>
      </w:r>
    </w:p>
    <w:p>
      <w:r>
        <w:t xml:space="preserve">porez na tvrtku u iznosu od  1.378,59</w:t>
      </w:r>
    </w:p>
    <w:p>
      <w:r>
        <w:t xml:space="preserve">porez na potrošnju u iznosu od 5.769,73</w:t>
      </w:r>
    </w:p>
    <w:p>
      <w:r>
        <w:t xml:space="preserve">naknada za zadržavanje nezakonite gradnje u iznosu od 490,83</w:t>
      </w:r>
    </w:p>
    <w:p>
      <w:r>
        <w:t xml:space="preserve">porez na javne površine u iznosu od 5,28</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66.251,15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w:t>
            </w:r>
          </w:p>
        </w:tc>
      </w:tr>
    </w:tbl>
    <w:p>
      <w:pPr>
        <w:spacing w:before="0" w:after="0"/>
      </w:pPr>
    </w:p>
    <w:p>
      <w:r>
        <w:t xml:space="preserve">Na navedenoj poziciji došlo je do eliminacije rashoda koji su izvršeni prijenosom sredstava u 2025. proračunskom korisniku iz svoje nadležnosti (podskupina 367). u iznosu od 267.411,40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navedenoj poziciji došlo je do smanjenja u obujmu imovine-zemljište u iznosu od 44,38</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navedenoj poziciji došlo je do smanjenja u obujmu imovine i to građevinskih objekata u iznosu od 6.107,64, te opreme u iznosu od 24,49</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navedenoj poziciji došlo je do smanjenja u obujmu  imovine-sitni inventar radi otpisa u iznosu od 604,98</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od 01.01.2025.-31.12.2025. iznosi 106.419,66 EUR, a odnose se na neplaćene a dospjele rashode za dospjele rashode za modernizaciju nerazvrstanih cesta, te za izgradnju kino dvorane. Rashodi nisu plaćeni iz razloga što nije bilo dostatnih financijskih sredstava. Dio navedenih obveza podmiren je početkom siječnja 2026.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financijsku imovinu u iznosu od 151.651,60 odnosi se na nedospjele obvez te po dugoročnom kreditu koji je realiziran kod Zagrebačke banke a za izgradnju dječjeg vrtića.</w:t>
      </w:r>
    </w:p>
    <w:p/>
    <w:p>
      <w:pPr>
        <w:jc w:val="center"/>
        <w:pStyle w:val="Normal"/>
        <w:spacing w:line="240" w:lineRule="auto"/>
        <w:keepNext/>
      </w:pPr>
      <w:r>
        <w:rPr>
          <w:sz w:val="28"/>
          <w:rFonts w:ascii="Times New Roman" w:hAnsi="Times New Roman"/>
        </w:rPr>
        <w:t xml:space="preserve">Bilješka 42.</w:t>
      </w:r>
    </w:p>
    <w:p>
      <w:pPr>
        <w:jc w:val="both"/>
        <w:pStyle w:val="Normal"/>
        <w:spacing w:line="240" w:lineRule="auto"/>
      </w:pPr>
      <w:r>
        <w:rPr>
          <w:b/>
          <w:sz w:val="24"/>
          <w:rFonts w:ascii="Times New Roman" w:hAnsi="Times New Roman"/>
        </w:rPr>
        <w:t xml:space="preserve">EU izvještaj</w:t>
      </w:r>
    </w:p>
    <w:p>
      <w:r>
        <w:t xml:space="preserve">U obrascu EU izvještaj prikazani su prihodi i rashodi po Ugovoru o dodjeli bespovratnih sredstava za projekte koji se financiraju iz Europskog socijalnog fonda plus u financijskom razdoblju 2021.-2027.  pod šifrom SF. 3.4.11.01.0311 "Zaželi-Potpora i podrška". </w:t>
      </w:r>
    </w:p>
    <w:p>
      <w:r>
        <w:t xml:space="preserve">Svrha projekta je pružanje usluge potpore i podrške u svakodnevnom životu starijim osobama i osobama s invaliditetom s područja općine Bednja i Vinica. Programom je obuhvaćeno 66 pripadnika ciljne  skupine . </w:t>
      </w:r>
    </w:p>
    <w:p>
      <w:r>
        <w:t xml:space="preserve">Ukupni iznos projekta je 561.000,00 EUR i 100 % je financiran bespovratnim sredstvima EU. </w:t>
      </w:r>
    </w:p>
    <w:p>
      <w:r>
        <w:t xml:space="preserve">U 2025.  ukupno je prihodovano 159.130,13 Eura dok je rashoda  bilo 175.235,14 Eura.</w:t>
      </w:r>
    </w:p>
    <w:p>
      <w:r>
        <w:t xml:space="preserve">Ukupno potraživanje po ugovoru iznosi 255.733,69 Eura.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407fc21c333423f" /></Relationships>
</file>